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10B8" w14:textId="282089A5" w:rsidR="00A12E4B" w:rsidRPr="004508B5" w:rsidRDefault="00A12E4B" w:rsidP="00A12E4B">
      <w:pPr>
        <w:jc w:val="center"/>
        <w:rPr>
          <w:b/>
          <w:bCs/>
          <w:sz w:val="28"/>
          <w:szCs w:val="28"/>
        </w:rPr>
      </w:pPr>
      <w:r w:rsidRPr="004508B5">
        <w:rPr>
          <w:b/>
          <w:bCs/>
          <w:sz w:val="28"/>
          <w:szCs w:val="28"/>
        </w:rPr>
        <w:t>Updates from</w:t>
      </w:r>
      <w:r w:rsidR="008F2A4B">
        <w:rPr>
          <w:b/>
          <w:bCs/>
          <w:sz w:val="28"/>
          <w:szCs w:val="28"/>
        </w:rPr>
        <w:t xml:space="preserve"> the National Association of </w:t>
      </w:r>
      <w:proofErr w:type="gramStart"/>
      <w:r w:rsidR="008F2A4B">
        <w:rPr>
          <w:b/>
          <w:bCs/>
          <w:sz w:val="28"/>
          <w:szCs w:val="28"/>
        </w:rPr>
        <w:t>Long Term</w:t>
      </w:r>
      <w:proofErr w:type="gramEnd"/>
      <w:r w:rsidR="008F2A4B">
        <w:rPr>
          <w:b/>
          <w:bCs/>
          <w:sz w:val="28"/>
          <w:szCs w:val="28"/>
        </w:rPr>
        <w:t xml:space="preserve"> Care Administrator Boards</w:t>
      </w:r>
      <w:r w:rsidRPr="004508B5">
        <w:rPr>
          <w:b/>
          <w:bCs/>
          <w:sz w:val="28"/>
          <w:szCs w:val="28"/>
        </w:rPr>
        <w:t xml:space="preserve"> </w:t>
      </w:r>
      <w:r w:rsidR="008F2A4B">
        <w:rPr>
          <w:b/>
          <w:bCs/>
          <w:sz w:val="28"/>
          <w:szCs w:val="28"/>
        </w:rPr>
        <w:t>(</w:t>
      </w:r>
      <w:r w:rsidRPr="004508B5">
        <w:rPr>
          <w:b/>
          <w:bCs/>
          <w:sz w:val="28"/>
          <w:szCs w:val="28"/>
        </w:rPr>
        <w:t>NAB</w:t>
      </w:r>
      <w:r w:rsidR="008F2A4B">
        <w:rPr>
          <w:b/>
          <w:bCs/>
          <w:sz w:val="28"/>
          <w:szCs w:val="28"/>
        </w:rPr>
        <w:t>)</w:t>
      </w:r>
      <w:r w:rsidR="00D41235">
        <w:rPr>
          <w:b/>
          <w:bCs/>
          <w:sz w:val="28"/>
          <w:szCs w:val="28"/>
        </w:rPr>
        <w:t xml:space="preserve"> – Domains of Practice, Exams, and AIT Resources</w:t>
      </w:r>
    </w:p>
    <w:p w14:paraId="763C74E1" w14:textId="12C2D36A" w:rsidR="00A12E4B" w:rsidRDefault="00A12E4B" w:rsidP="00A12E4B">
      <w:pPr>
        <w:jc w:val="center"/>
      </w:pPr>
    </w:p>
    <w:p w14:paraId="57353FE8" w14:textId="38AD34F1" w:rsidR="002C357C" w:rsidRPr="004508B5" w:rsidRDefault="00D96832" w:rsidP="002C357C">
      <w:pPr>
        <w:rPr>
          <w:sz w:val="24"/>
          <w:szCs w:val="24"/>
        </w:rPr>
      </w:pPr>
      <w:r w:rsidRPr="004508B5">
        <w:rPr>
          <w:rFonts w:ascii="Arial" w:eastAsia="Times New Roman" w:hAnsi="Arial" w:cs="Arial"/>
          <w:noProof/>
          <w:color w:val="545353"/>
          <w:sz w:val="28"/>
          <w:szCs w:val="28"/>
        </w:rPr>
        <mc:AlternateContent>
          <mc:Choice Requires="wps">
            <w:drawing>
              <wp:anchor distT="45720" distB="45720" distL="114300" distR="114300" simplePos="0" relativeHeight="251659264" behindDoc="0" locked="0" layoutInCell="1" allowOverlap="1" wp14:anchorId="2A7BBA24" wp14:editId="296AFE08">
                <wp:simplePos x="0" y="0"/>
                <wp:positionH relativeFrom="margin">
                  <wp:align>left</wp:align>
                </wp:positionH>
                <wp:positionV relativeFrom="paragraph">
                  <wp:posOffset>1068705</wp:posOffset>
                </wp:positionV>
                <wp:extent cx="6048375" cy="506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067300"/>
                        </a:xfrm>
                        <a:prstGeom prst="rect">
                          <a:avLst/>
                        </a:prstGeom>
                        <a:solidFill>
                          <a:srgbClr val="FFFFFF"/>
                        </a:solidFill>
                        <a:ln w="9525">
                          <a:solidFill>
                            <a:srgbClr val="000000"/>
                          </a:solidFill>
                          <a:miter lim="800000"/>
                          <a:headEnd/>
                          <a:tailEnd/>
                        </a:ln>
                      </wps:spPr>
                      <wps:txbx>
                        <w:txbxContent>
                          <w:p w14:paraId="7EB95A2B" w14:textId="6BB85215"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b/>
                                <w:bCs/>
                              </w:rPr>
                              <w:t>New Domains of Practice – 2022</w:t>
                            </w:r>
                          </w:p>
                          <w:p w14:paraId="27C51E95"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color w:val="545353"/>
                              </w:rPr>
                              <w:t xml:space="preserve">Every five years the National Association of </w:t>
                            </w:r>
                            <w:proofErr w:type="gramStart"/>
                            <w:r w:rsidRPr="004D7AAB">
                              <w:rPr>
                                <w:rFonts w:ascii="Arial" w:eastAsia="Times New Roman" w:hAnsi="Arial" w:cs="Arial"/>
                                <w:color w:val="545353"/>
                              </w:rPr>
                              <w:t>Long Term</w:t>
                            </w:r>
                            <w:proofErr w:type="gramEnd"/>
                            <w:r w:rsidRPr="004D7AAB">
                              <w:rPr>
                                <w:rFonts w:ascii="Arial" w:eastAsia="Times New Roman" w:hAnsi="Arial" w:cs="Arial"/>
                                <w:color w:val="545353"/>
                              </w:rPr>
                              <w:t xml:space="preserve"> Care Administrator Boards (NAB) conducts a Professional Practice Analysis (PPA) to ensure that the NAB licensure exams accurately represent the current scope of practice of the profession of Senior Living and Health Services. The new PPA serves as the foundation for the exams, as well as content for continuing education, academic programs, exam prep study material, and standards of practice for state licensing boards.</w:t>
                            </w:r>
                          </w:p>
                          <w:p w14:paraId="5032F074"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color w:val="545353"/>
                              </w:rPr>
                              <w:t>While most of the knowledge and tasks have not changed significantly, they have been realigned under four content domains, where there were previously five.</w:t>
                            </w:r>
                          </w:p>
                          <w:tbl>
                            <w:tblPr>
                              <w:tblStyle w:val="TableGrid"/>
                              <w:tblW w:w="9265" w:type="dxa"/>
                              <w:tblLook w:val="04A0" w:firstRow="1" w:lastRow="0" w:firstColumn="1" w:lastColumn="0" w:noHBand="0" w:noVBand="1"/>
                            </w:tblPr>
                            <w:tblGrid>
                              <w:gridCol w:w="4495"/>
                              <w:gridCol w:w="4770"/>
                            </w:tblGrid>
                            <w:tr w:rsidR="00D96832" w:rsidRPr="004D7AAB" w14:paraId="48E1DF55" w14:textId="77777777" w:rsidTr="00F42130">
                              <w:tc>
                                <w:tcPr>
                                  <w:tcW w:w="4495" w:type="dxa"/>
                                  <w:vAlign w:val="bottom"/>
                                </w:tcPr>
                                <w:p w14:paraId="4D3F6011" w14:textId="77777777" w:rsidR="00D96832" w:rsidRPr="004D7AAB" w:rsidRDefault="00D96832" w:rsidP="00D96832">
                                  <w:pPr>
                                    <w:spacing w:before="100" w:beforeAutospacing="1" w:after="150"/>
                                    <w:rPr>
                                      <w:rFonts w:ascii="Arial" w:eastAsia="Times New Roman" w:hAnsi="Arial" w:cs="Arial"/>
                                      <w:color w:val="545353"/>
                                    </w:rPr>
                                  </w:pPr>
                                  <w:r w:rsidRPr="004D7AAB">
                                    <w:rPr>
                                      <w:rStyle w:val="Strong"/>
                                      <w:rFonts w:ascii="Arial" w:hAnsi="Arial" w:cs="Arial"/>
                                      <w:color w:val="545353"/>
                                    </w:rPr>
                                    <w:t xml:space="preserve">New Domains, effective with July 1, </w:t>
                                  </w:r>
                                  <w:proofErr w:type="gramStart"/>
                                  <w:r w:rsidRPr="004D7AAB">
                                    <w:rPr>
                                      <w:rStyle w:val="Strong"/>
                                      <w:rFonts w:ascii="Arial" w:hAnsi="Arial" w:cs="Arial"/>
                                      <w:color w:val="545353"/>
                                    </w:rPr>
                                    <w:t>2022</w:t>
                                  </w:r>
                                  <w:proofErr w:type="gramEnd"/>
                                  <w:r w:rsidRPr="004D7AAB">
                                    <w:rPr>
                                      <w:rStyle w:val="Strong"/>
                                      <w:rFonts w:ascii="Arial" w:hAnsi="Arial" w:cs="Arial"/>
                                      <w:color w:val="545353"/>
                                    </w:rPr>
                                    <w:t xml:space="preserve"> Exams  </w:t>
                                  </w:r>
                                </w:p>
                              </w:tc>
                              <w:tc>
                                <w:tcPr>
                                  <w:tcW w:w="4770" w:type="dxa"/>
                                  <w:vAlign w:val="bottom"/>
                                </w:tcPr>
                                <w:p w14:paraId="1355426C" w14:textId="77777777" w:rsidR="00D96832" w:rsidRPr="004D7AAB" w:rsidRDefault="00D96832" w:rsidP="00D96832">
                                  <w:pPr>
                                    <w:spacing w:before="100" w:beforeAutospacing="1" w:after="150"/>
                                    <w:rPr>
                                      <w:rFonts w:ascii="Arial" w:eastAsia="Times New Roman" w:hAnsi="Arial" w:cs="Arial"/>
                                      <w:color w:val="545353"/>
                                    </w:rPr>
                                  </w:pPr>
                                  <w:r w:rsidRPr="004D7AAB">
                                    <w:rPr>
                                      <w:rStyle w:val="Strong"/>
                                      <w:rFonts w:ascii="Arial" w:hAnsi="Arial" w:cs="Arial"/>
                                      <w:color w:val="545353"/>
                                    </w:rPr>
                                    <w:t xml:space="preserve"> Previous domains, effective July 5, </w:t>
                                  </w:r>
                                  <w:proofErr w:type="gramStart"/>
                                  <w:r w:rsidRPr="004D7AAB">
                                    <w:rPr>
                                      <w:rStyle w:val="Strong"/>
                                      <w:rFonts w:ascii="Arial" w:hAnsi="Arial" w:cs="Arial"/>
                                      <w:color w:val="545353"/>
                                    </w:rPr>
                                    <w:t>2017</w:t>
                                  </w:r>
                                  <w:proofErr w:type="gramEnd"/>
                                  <w:r w:rsidRPr="004D7AAB">
                                    <w:rPr>
                                      <w:rStyle w:val="Strong"/>
                                      <w:rFonts w:ascii="Arial" w:hAnsi="Arial" w:cs="Arial"/>
                                      <w:color w:val="545353"/>
                                    </w:rPr>
                                    <w:t xml:space="preserve"> to June 30, 2022</w:t>
                                  </w:r>
                                </w:p>
                              </w:tc>
                            </w:tr>
                            <w:tr w:rsidR="00D96832" w:rsidRPr="004D7AAB" w14:paraId="1C75B241" w14:textId="77777777" w:rsidTr="00F42130">
                              <w:tc>
                                <w:tcPr>
                                  <w:tcW w:w="4495" w:type="dxa"/>
                                  <w:vAlign w:val="bottom"/>
                                </w:tcPr>
                                <w:p w14:paraId="1C419F44"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1 Care, Services, and Supports</w:t>
                                  </w:r>
                                </w:p>
                              </w:tc>
                              <w:tc>
                                <w:tcPr>
                                  <w:tcW w:w="4770" w:type="dxa"/>
                                  <w:vAlign w:val="bottom"/>
                                </w:tcPr>
                                <w:p w14:paraId="1C87AFF3"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10.Customer Care, Supports, and Services  </w:t>
                                  </w:r>
                                </w:p>
                              </w:tc>
                            </w:tr>
                            <w:tr w:rsidR="00D96832" w:rsidRPr="004D7AAB" w14:paraId="5399BB6D" w14:textId="77777777" w:rsidTr="00F42130">
                              <w:tc>
                                <w:tcPr>
                                  <w:tcW w:w="4495" w:type="dxa"/>
                                  <w:vAlign w:val="bottom"/>
                                </w:tcPr>
                                <w:p w14:paraId="6A442B32"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2 Operations</w:t>
                                  </w:r>
                                </w:p>
                              </w:tc>
                              <w:tc>
                                <w:tcPr>
                                  <w:tcW w:w="4770" w:type="dxa"/>
                                  <w:vAlign w:val="bottom"/>
                                </w:tcPr>
                                <w:p w14:paraId="543A1739"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20. Human Resource</w:t>
                                  </w:r>
                                </w:p>
                              </w:tc>
                            </w:tr>
                            <w:tr w:rsidR="00D96832" w:rsidRPr="004D7AAB" w14:paraId="50D21E2F" w14:textId="77777777" w:rsidTr="00F42130">
                              <w:tc>
                                <w:tcPr>
                                  <w:tcW w:w="4495" w:type="dxa"/>
                                  <w:vAlign w:val="bottom"/>
                                </w:tcPr>
                                <w:p w14:paraId="4BB816A5"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w:t>
                                  </w:r>
                                </w:p>
                              </w:tc>
                              <w:tc>
                                <w:tcPr>
                                  <w:tcW w:w="4770" w:type="dxa"/>
                                  <w:vAlign w:val="bottom"/>
                                </w:tcPr>
                                <w:p w14:paraId="70498DCE"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30. Finance</w:t>
                                  </w:r>
                                </w:p>
                              </w:tc>
                            </w:tr>
                            <w:tr w:rsidR="00D96832" w:rsidRPr="004D7AAB" w14:paraId="52059E50" w14:textId="77777777" w:rsidTr="00F42130">
                              <w:tc>
                                <w:tcPr>
                                  <w:tcW w:w="4495" w:type="dxa"/>
                                  <w:vAlign w:val="bottom"/>
                                </w:tcPr>
                                <w:p w14:paraId="27DCBEC7"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3 Environment and Quality</w:t>
                                  </w:r>
                                </w:p>
                              </w:tc>
                              <w:tc>
                                <w:tcPr>
                                  <w:tcW w:w="4770" w:type="dxa"/>
                                  <w:vAlign w:val="bottom"/>
                                </w:tcPr>
                                <w:p w14:paraId="5A8F99A1"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40. Environment</w:t>
                                  </w:r>
                                </w:p>
                              </w:tc>
                            </w:tr>
                            <w:tr w:rsidR="00D96832" w:rsidRPr="004D7AAB" w14:paraId="6E1D50CB" w14:textId="77777777" w:rsidTr="00F42130">
                              <w:tc>
                                <w:tcPr>
                                  <w:tcW w:w="4495" w:type="dxa"/>
                                  <w:vAlign w:val="bottom"/>
                                </w:tcPr>
                                <w:p w14:paraId="3C974153"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4 Leadership and Strategy</w:t>
                                  </w:r>
                                </w:p>
                              </w:tc>
                              <w:tc>
                                <w:tcPr>
                                  <w:tcW w:w="4770" w:type="dxa"/>
                                  <w:vAlign w:val="bottom"/>
                                </w:tcPr>
                                <w:p w14:paraId="11B1D3F6"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50. Management and Leadership</w:t>
                                  </w:r>
                                </w:p>
                              </w:tc>
                            </w:tr>
                          </w:tbl>
                          <w:p w14:paraId="75B16012"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b/>
                                <w:bCs/>
                              </w:rPr>
                              <w:t>Please download the new domains of practice:</w:t>
                            </w:r>
                          </w:p>
                          <w:p w14:paraId="30BF9B22"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5" w:tgtFrame="_blank" w:tooltip="CORE Domains 03-01-22" w:history="1">
                              <w:r w:rsidR="00D96832" w:rsidRPr="004D7AAB">
                                <w:rPr>
                                  <w:rFonts w:ascii="Arial" w:eastAsia="Times New Roman" w:hAnsi="Arial" w:cs="Arial"/>
                                  <w:color w:val="00A08D"/>
                                  <w:u w:val="single"/>
                                </w:rPr>
                                <w:t>CORE Domains of Practice</w:t>
                              </w:r>
                            </w:hyperlink>
                          </w:p>
                          <w:p w14:paraId="41AF4649"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6" w:tgtFrame="_blank" w:tooltip="NHA Domains 03-01-22" w:history="1">
                              <w:r w:rsidR="00D96832" w:rsidRPr="004D7AAB">
                                <w:rPr>
                                  <w:rFonts w:ascii="Arial" w:eastAsia="Times New Roman" w:hAnsi="Arial" w:cs="Arial"/>
                                  <w:color w:val="00A08D"/>
                                  <w:u w:val="single"/>
                                </w:rPr>
                                <w:t>NHA Domains of Practice</w:t>
                              </w:r>
                            </w:hyperlink>
                          </w:p>
                          <w:p w14:paraId="7C283DAD"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7" w:tgtFrame="_blank" w:tooltip="RCAL Domains 03-01-22" w:history="1">
                              <w:r w:rsidR="00D96832" w:rsidRPr="004D7AAB">
                                <w:rPr>
                                  <w:rFonts w:ascii="Arial" w:eastAsia="Times New Roman" w:hAnsi="Arial" w:cs="Arial"/>
                                  <w:color w:val="00A08D"/>
                                  <w:u w:val="single"/>
                                </w:rPr>
                                <w:t>RCAL Domains of Practice</w:t>
                              </w:r>
                            </w:hyperlink>
                          </w:p>
                          <w:p w14:paraId="2ED309EA"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8" w:tgtFrame="_blank" w:tooltip="HCBS Domains 03-01-22" w:history="1">
                              <w:r w:rsidR="00D96832" w:rsidRPr="004D7AAB">
                                <w:rPr>
                                  <w:rFonts w:ascii="Arial" w:eastAsia="Times New Roman" w:hAnsi="Arial" w:cs="Arial"/>
                                  <w:color w:val="00A08D"/>
                                  <w:u w:val="single"/>
                                </w:rPr>
                                <w:t>HCBS Domains of Practice </w:t>
                              </w:r>
                            </w:hyperlink>
                          </w:p>
                          <w:p w14:paraId="7130176B"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9" w:tooltip="Domains_of_Practice_-_All_Lines_of_Service_-_03-01-2022" w:history="1">
                              <w:r w:rsidR="00D96832" w:rsidRPr="004D7AAB">
                                <w:rPr>
                                  <w:rFonts w:ascii="Arial" w:eastAsia="Times New Roman" w:hAnsi="Arial" w:cs="Arial"/>
                                  <w:color w:val="00A08D"/>
                                  <w:u w:val="single"/>
                                </w:rPr>
                                <w:t>All Lines of Service for NCERS Sponsors</w:t>
                              </w:r>
                            </w:hyperlink>
                          </w:p>
                          <w:p w14:paraId="5CFF53AA" w14:textId="77777777" w:rsidR="00D96832" w:rsidRDefault="00D96832" w:rsidP="00D96832"/>
                          <w:p w14:paraId="5896B192" w14:textId="76606966" w:rsidR="00D96832" w:rsidRDefault="00D96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BBA24" id="_x0000_t202" coordsize="21600,21600" o:spt="202" path="m,l,21600r21600,l21600,xe">
                <v:stroke joinstyle="miter"/>
                <v:path gradientshapeok="t" o:connecttype="rect"/>
              </v:shapetype>
              <v:shape id="Text Box 2" o:spid="_x0000_s1026" type="#_x0000_t202" style="position:absolute;margin-left:0;margin-top:84.15pt;width:476.25pt;height:39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8EgIAACA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">
                <v:textbox>
                  <w:txbxContent>
                    <w:p w14:paraId="7EB95A2B" w14:textId="6BB85215"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b/>
                          <w:bCs/>
                        </w:rPr>
                        <w:t>New Domains of Practice – 2022</w:t>
                      </w:r>
                    </w:p>
                    <w:p w14:paraId="27C51E95"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color w:val="545353"/>
                        </w:rPr>
                        <w:t xml:space="preserve">Every five years the National Association of </w:t>
                      </w:r>
                      <w:proofErr w:type="gramStart"/>
                      <w:r w:rsidRPr="004D7AAB">
                        <w:rPr>
                          <w:rFonts w:ascii="Arial" w:eastAsia="Times New Roman" w:hAnsi="Arial" w:cs="Arial"/>
                          <w:color w:val="545353"/>
                        </w:rPr>
                        <w:t>Long Term</w:t>
                      </w:r>
                      <w:proofErr w:type="gramEnd"/>
                      <w:r w:rsidRPr="004D7AAB">
                        <w:rPr>
                          <w:rFonts w:ascii="Arial" w:eastAsia="Times New Roman" w:hAnsi="Arial" w:cs="Arial"/>
                          <w:color w:val="545353"/>
                        </w:rPr>
                        <w:t xml:space="preserve"> Care Administrator Boards (NAB) conducts a Professional Practice Analysis (PPA) to ensure that the NAB licensure exams accurately represent the current scope of practice of the profession of Senior Living and Health Services. The new PPA serves as the foundation for the exams, as well as content for continuing education, academic programs, exam prep study material, and standards of practice for state licensing boards.</w:t>
                      </w:r>
                    </w:p>
                    <w:p w14:paraId="5032F074"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color w:val="545353"/>
                        </w:rPr>
                        <w:t>While most of the knowledge and tasks have not changed significantly, they have been realigned under four content domains, where there were previously five.</w:t>
                      </w:r>
                    </w:p>
                    <w:tbl>
                      <w:tblPr>
                        <w:tblStyle w:val="TableGrid"/>
                        <w:tblW w:w="9265" w:type="dxa"/>
                        <w:tblLook w:val="04A0" w:firstRow="1" w:lastRow="0" w:firstColumn="1" w:lastColumn="0" w:noHBand="0" w:noVBand="1"/>
                      </w:tblPr>
                      <w:tblGrid>
                        <w:gridCol w:w="4495"/>
                        <w:gridCol w:w="4770"/>
                      </w:tblGrid>
                      <w:tr w:rsidR="00D96832" w:rsidRPr="004D7AAB" w14:paraId="48E1DF55" w14:textId="77777777" w:rsidTr="00F42130">
                        <w:tc>
                          <w:tcPr>
                            <w:tcW w:w="4495" w:type="dxa"/>
                            <w:vAlign w:val="bottom"/>
                          </w:tcPr>
                          <w:p w14:paraId="4D3F6011" w14:textId="77777777" w:rsidR="00D96832" w:rsidRPr="004D7AAB" w:rsidRDefault="00D96832" w:rsidP="00D96832">
                            <w:pPr>
                              <w:spacing w:before="100" w:beforeAutospacing="1" w:after="150"/>
                              <w:rPr>
                                <w:rFonts w:ascii="Arial" w:eastAsia="Times New Roman" w:hAnsi="Arial" w:cs="Arial"/>
                                <w:color w:val="545353"/>
                              </w:rPr>
                            </w:pPr>
                            <w:r w:rsidRPr="004D7AAB">
                              <w:rPr>
                                <w:rStyle w:val="Strong"/>
                                <w:rFonts w:ascii="Arial" w:hAnsi="Arial" w:cs="Arial"/>
                                <w:color w:val="545353"/>
                              </w:rPr>
                              <w:t xml:space="preserve">New Domains, effective with July 1, </w:t>
                            </w:r>
                            <w:proofErr w:type="gramStart"/>
                            <w:r w:rsidRPr="004D7AAB">
                              <w:rPr>
                                <w:rStyle w:val="Strong"/>
                                <w:rFonts w:ascii="Arial" w:hAnsi="Arial" w:cs="Arial"/>
                                <w:color w:val="545353"/>
                              </w:rPr>
                              <w:t>2022</w:t>
                            </w:r>
                            <w:proofErr w:type="gramEnd"/>
                            <w:r w:rsidRPr="004D7AAB">
                              <w:rPr>
                                <w:rStyle w:val="Strong"/>
                                <w:rFonts w:ascii="Arial" w:hAnsi="Arial" w:cs="Arial"/>
                                <w:color w:val="545353"/>
                              </w:rPr>
                              <w:t xml:space="preserve"> Exams  </w:t>
                            </w:r>
                          </w:p>
                        </w:tc>
                        <w:tc>
                          <w:tcPr>
                            <w:tcW w:w="4770" w:type="dxa"/>
                            <w:vAlign w:val="bottom"/>
                          </w:tcPr>
                          <w:p w14:paraId="1355426C" w14:textId="77777777" w:rsidR="00D96832" w:rsidRPr="004D7AAB" w:rsidRDefault="00D96832" w:rsidP="00D96832">
                            <w:pPr>
                              <w:spacing w:before="100" w:beforeAutospacing="1" w:after="150"/>
                              <w:rPr>
                                <w:rFonts w:ascii="Arial" w:eastAsia="Times New Roman" w:hAnsi="Arial" w:cs="Arial"/>
                                <w:color w:val="545353"/>
                              </w:rPr>
                            </w:pPr>
                            <w:r w:rsidRPr="004D7AAB">
                              <w:rPr>
                                <w:rStyle w:val="Strong"/>
                                <w:rFonts w:ascii="Arial" w:hAnsi="Arial" w:cs="Arial"/>
                                <w:color w:val="545353"/>
                              </w:rPr>
                              <w:t xml:space="preserve"> Previous domains, effective July 5, </w:t>
                            </w:r>
                            <w:proofErr w:type="gramStart"/>
                            <w:r w:rsidRPr="004D7AAB">
                              <w:rPr>
                                <w:rStyle w:val="Strong"/>
                                <w:rFonts w:ascii="Arial" w:hAnsi="Arial" w:cs="Arial"/>
                                <w:color w:val="545353"/>
                              </w:rPr>
                              <w:t>2017</w:t>
                            </w:r>
                            <w:proofErr w:type="gramEnd"/>
                            <w:r w:rsidRPr="004D7AAB">
                              <w:rPr>
                                <w:rStyle w:val="Strong"/>
                                <w:rFonts w:ascii="Arial" w:hAnsi="Arial" w:cs="Arial"/>
                                <w:color w:val="545353"/>
                              </w:rPr>
                              <w:t xml:space="preserve"> to June 30, 2022</w:t>
                            </w:r>
                          </w:p>
                        </w:tc>
                      </w:tr>
                      <w:tr w:rsidR="00D96832" w:rsidRPr="004D7AAB" w14:paraId="1C75B241" w14:textId="77777777" w:rsidTr="00F42130">
                        <w:tc>
                          <w:tcPr>
                            <w:tcW w:w="4495" w:type="dxa"/>
                            <w:vAlign w:val="bottom"/>
                          </w:tcPr>
                          <w:p w14:paraId="1C419F44"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1 Care, Services, and Supports</w:t>
                            </w:r>
                          </w:p>
                        </w:tc>
                        <w:tc>
                          <w:tcPr>
                            <w:tcW w:w="4770" w:type="dxa"/>
                            <w:vAlign w:val="bottom"/>
                          </w:tcPr>
                          <w:p w14:paraId="1C87AFF3"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10.Customer Care, Supports, and Services  </w:t>
                            </w:r>
                          </w:p>
                        </w:tc>
                      </w:tr>
                      <w:tr w:rsidR="00D96832" w:rsidRPr="004D7AAB" w14:paraId="5399BB6D" w14:textId="77777777" w:rsidTr="00F42130">
                        <w:tc>
                          <w:tcPr>
                            <w:tcW w:w="4495" w:type="dxa"/>
                            <w:vAlign w:val="bottom"/>
                          </w:tcPr>
                          <w:p w14:paraId="6A442B32"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2 Operations</w:t>
                            </w:r>
                          </w:p>
                        </w:tc>
                        <w:tc>
                          <w:tcPr>
                            <w:tcW w:w="4770" w:type="dxa"/>
                            <w:vAlign w:val="bottom"/>
                          </w:tcPr>
                          <w:p w14:paraId="543A1739"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20. Human Resource</w:t>
                            </w:r>
                          </w:p>
                        </w:tc>
                      </w:tr>
                      <w:tr w:rsidR="00D96832" w:rsidRPr="004D7AAB" w14:paraId="50D21E2F" w14:textId="77777777" w:rsidTr="00F42130">
                        <w:tc>
                          <w:tcPr>
                            <w:tcW w:w="4495" w:type="dxa"/>
                            <w:vAlign w:val="bottom"/>
                          </w:tcPr>
                          <w:p w14:paraId="4BB816A5"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w:t>
                            </w:r>
                          </w:p>
                        </w:tc>
                        <w:tc>
                          <w:tcPr>
                            <w:tcW w:w="4770" w:type="dxa"/>
                            <w:vAlign w:val="bottom"/>
                          </w:tcPr>
                          <w:p w14:paraId="70498DCE"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30. Finance</w:t>
                            </w:r>
                          </w:p>
                        </w:tc>
                      </w:tr>
                      <w:tr w:rsidR="00D96832" w:rsidRPr="004D7AAB" w14:paraId="52059E50" w14:textId="77777777" w:rsidTr="00F42130">
                        <w:tc>
                          <w:tcPr>
                            <w:tcW w:w="4495" w:type="dxa"/>
                            <w:vAlign w:val="bottom"/>
                          </w:tcPr>
                          <w:p w14:paraId="27DCBEC7"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3 Environment and Quality</w:t>
                            </w:r>
                          </w:p>
                        </w:tc>
                        <w:tc>
                          <w:tcPr>
                            <w:tcW w:w="4770" w:type="dxa"/>
                            <w:vAlign w:val="bottom"/>
                          </w:tcPr>
                          <w:p w14:paraId="5A8F99A1"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40. Environment</w:t>
                            </w:r>
                          </w:p>
                        </w:tc>
                      </w:tr>
                      <w:tr w:rsidR="00D96832" w:rsidRPr="004D7AAB" w14:paraId="6E1D50CB" w14:textId="77777777" w:rsidTr="00F42130">
                        <w:tc>
                          <w:tcPr>
                            <w:tcW w:w="4495" w:type="dxa"/>
                            <w:vAlign w:val="bottom"/>
                          </w:tcPr>
                          <w:p w14:paraId="3C974153"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4 Leadership and Strategy</w:t>
                            </w:r>
                          </w:p>
                        </w:tc>
                        <w:tc>
                          <w:tcPr>
                            <w:tcW w:w="4770" w:type="dxa"/>
                            <w:vAlign w:val="bottom"/>
                          </w:tcPr>
                          <w:p w14:paraId="11B1D3F6" w14:textId="77777777" w:rsidR="00D96832" w:rsidRPr="004D7AAB" w:rsidRDefault="00D96832" w:rsidP="00D96832">
                            <w:pPr>
                              <w:spacing w:before="100" w:beforeAutospacing="1" w:after="150"/>
                              <w:rPr>
                                <w:rFonts w:ascii="Arial" w:eastAsia="Times New Roman" w:hAnsi="Arial" w:cs="Arial"/>
                                <w:color w:val="545353"/>
                              </w:rPr>
                            </w:pPr>
                            <w:r w:rsidRPr="004D7AAB">
                              <w:rPr>
                                <w:rFonts w:ascii="Arial" w:hAnsi="Arial" w:cs="Arial"/>
                                <w:color w:val="545353"/>
                              </w:rPr>
                              <w:t> 50. Management and Leadership</w:t>
                            </w:r>
                          </w:p>
                        </w:tc>
                      </w:tr>
                    </w:tbl>
                    <w:p w14:paraId="75B16012" w14:textId="77777777" w:rsidR="00D96832" w:rsidRPr="004D7AAB" w:rsidRDefault="00D96832" w:rsidP="00D96832">
                      <w:pPr>
                        <w:shd w:val="clear" w:color="auto" w:fill="FFFFFF"/>
                        <w:spacing w:before="100" w:beforeAutospacing="1" w:after="150"/>
                        <w:rPr>
                          <w:rFonts w:ascii="Arial" w:eastAsia="Times New Roman" w:hAnsi="Arial" w:cs="Arial"/>
                          <w:color w:val="545353"/>
                        </w:rPr>
                      </w:pPr>
                      <w:r w:rsidRPr="004D7AAB">
                        <w:rPr>
                          <w:rFonts w:ascii="Arial" w:eastAsia="Times New Roman" w:hAnsi="Arial" w:cs="Arial"/>
                          <w:b/>
                          <w:bCs/>
                        </w:rPr>
                        <w:t>Please download the new domains of practice:</w:t>
                      </w:r>
                    </w:p>
                    <w:p w14:paraId="30BF9B22"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10" w:tgtFrame="_blank" w:tooltip="CORE Domains 03-01-22" w:history="1">
                        <w:r w:rsidR="00D96832" w:rsidRPr="004D7AAB">
                          <w:rPr>
                            <w:rFonts w:ascii="Arial" w:eastAsia="Times New Roman" w:hAnsi="Arial" w:cs="Arial"/>
                            <w:color w:val="00A08D"/>
                            <w:u w:val="single"/>
                          </w:rPr>
                          <w:t>CORE Domains of Practice</w:t>
                        </w:r>
                      </w:hyperlink>
                    </w:p>
                    <w:p w14:paraId="41AF4649"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11" w:tgtFrame="_blank" w:tooltip="NHA Domains 03-01-22" w:history="1">
                        <w:r w:rsidR="00D96832" w:rsidRPr="004D7AAB">
                          <w:rPr>
                            <w:rFonts w:ascii="Arial" w:eastAsia="Times New Roman" w:hAnsi="Arial" w:cs="Arial"/>
                            <w:color w:val="00A08D"/>
                            <w:u w:val="single"/>
                          </w:rPr>
                          <w:t>NHA Domains of Practice</w:t>
                        </w:r>
                      </w:hyperlink>
                    </w:p>
                    <w:p w14:paraId="7C283DAD"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12" w:tgtFrame="_blank" w:tooltip="RCAL Domains 03-01-22" w:history="1">
                        <w:r w:rsidR="00D96832" w:rsidRPr="004D7AAB">
                          <w:rPr>
                            <w:rFonts w:ascii="Arial" w:eastAsia="Times New Roman" w:hAnsi="Arial" w:cs="Arial"/>
                            <w:color w:val="00A08D"/>
                            <w:u w:val="single"/>
                          </w:rPr>
                          <w:t>RCAL Domains of Practice</w:t>
                        </w:r>
                      </w:hyperlink>
                    </w:p>
                    <w:p w14:paraId="2ED309EA"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13" w:tgtFrame="_blank" w:tooltip="HCBS Domains 03-01-22" w:history="1">
                        <w:r w:rsidR="00D96832" w:rsidRPr="004D7AAB">
                          <w:rPr>
                            <w:rFonts w:ascii="Arial" w:eastAsia="Times New Roman" w:hAnsi="Arial" w:cs="Arial"/>
                            <w:color w:val="00A08D"/>
                            <w:u w:val="single"/>
                          </w:rPr>
                          <w:t>HCBS Domains of Practice </w:t>
                        </w:r>
                      </w:hyperlink>
                    </w:p>
                    <w:p w14:paraId="7130176B" w14:textId="77777777" w:rsidR="00D96832" w:rsidRPr="004D7AAB" w:rsidRDefault="005B7724" w:rsidP="00D96832">
                      <w:pPr>
                        <w:numPr>
                          <w:ilvl w:val="0"/>
                          <w:numId w:val="6"/>
                        </w:numPr>
                        <w:shd w:val="clear" w:color="auto" w:fill="FFFFFF"/>
                        <w:spacing w:before="100" w:beforeAutospacing="1"/>
                        <w:ind w:left="930"/>
                        <w:rPr>
                          <w:rFonts w:ascii="Arial" w:eastAsia="Times New Roman" w:hAnsi="Arial" w:cs="Arial"/>
                          <w:color w:val="545353"/>
                        </w:rPr>
                      </w:pPr>
                      <w:hyperlink r:id="rId14" w:tooltip="Domains_of_Practice_-_All_Lines_of_Service_-_03-01-2022" w:history="1">
                        <w:r w:rsidR="00D96832" w:rsidRPr="004D7AAB">
                          <w:rPr>
                            <w:rFonts w:ascii="Arial" w:eastAsia="Times New Roman" w:hAnsi="Arial" w:cs="Arial"/>
                            <w:color w:val="00A08D"/>
                            <w:u w:val="single"/>
                          </w:rPr>
                          <w:t>All Lines of Service for NCERS Sponsors</w:t>
                        </w:r>
                      </w:hyperlink>
                    </w:p>
                    <w:p w14:paraId="5CFF53AA" w14:textId="77777777" w:rsidR="00D96832" w:rsidRDefault="00D96832" w:rsidP="00D96832"/>
                    <w:p w14:paraId="5896B192" w14:textId="76606966" w:rsidR="00D96832" w:rsidRDefault="00D96832"/>
                  </w:txbxContent>
                </v:textbox>
                <w10:wrap type="square" anchorx="margin"/>
              </v:shape>
            </w:pict>
          </mc:Fallback>
        </mc:AlternateContent>
      </w:r>
      <w:r w:rsidR="002C357C" w:rsidRPr="004508B5">
        <w:rPr>
          <w:sz w:val="24"/>
          <w:szCs w:val="24"/>
        </w:rPr>
        <w:t>In</w:t>
      </w:r>
      <w:r w:rsidR="002C357C" w:rsidRPr="004508B5">
        <w:rPr>
          <w:sz w:val="28"/>
          <w:szCs w:val="28"/>
        </w:rPr>
        <w:t xml:space="preserve"> </w:t>
      </w:r>
      <w:r w:rsidR="002C357C" w:rsidRPr="004508B5">
        <w:rPr>
          <w:sz w:val="24"/>
          <w:szCs w:val="24"/>
        </w:rPr>
        <w:t xml:space="preserve">2022, NAB updated its Domains of Practice to reflect the current state of practice in the long-term care setting.  Please note that, although the number of domains </w:t>
      </w:r>
      <w:proofErr w:type="gramStart"/>
      <w:r w:rsidR="008F47BF">
        <w:rPr>
          <w:sz w:val="24"/>
          <w:szCs w:val="24"/>
        </w:rPr>
        <w:t>have</w:t>
      </w:r>
      <w:proofErr w:type="gramEnd"/>
      <w:r w:rsidR="008F47BF">
        <w:rPr>
          <w:sz w:val="24"/>
          <w:szCs w:val="24"/>
        </w:rPr>
        <w:t xml:space="preserve"> been re</w:t>
      </w:r>
      <w:r w:rsidR="008F47BF">
        <w:t>duced</w:t>
      </w:r>
      <w:r w:rsidR="002C357C" w:rsidRPr="004508B5">
        <w:rPr>
          <w:sz w:val="24"/>
          <w:szCs w:val="24"/>
        </w:rPr>
        <w:t xml:space="preserve"> from five to four, the overall content and foundational knowledge and tasks have </w:t>
      </w:r>
      <w:r w:rsidR="004508B5" w:rsidRPr="004508B5">
        <w:rPr>
          <w:sz w:val="24"/>
          <w:szCs w:val="24"/>
        </w:rPr>
        <w:t>not undergone</w:t>
      </w:r>
      <w:r w:rsidR="002C357C" w:rsidRPr="004508B5">
        <w:rPr>
          <w:sz w:val="24"/>
          <w:szCs w:val="24"/>
        </w:rPr>
        <w:t xml:space="preserve"> significant changes.  Below is additional information and explanation from NAB related to these changes.  For more information, visit NAB’s website at </w:t>
      </w:r>
      <w:hyperlink r:id="rId15" w:history="1">
        <w:r w:rsidR="002C357C" w:rsidRPr="004508B5">
          <w:rPr>
            <w:rStyle w:val="Hyperlink"/>
            <w:sz w:val="24"/>
            <w:szCs w:val="24"/>
          </w:rPr>
          <w:t>www.nabweb.org</w:t>
        </w:r>
      </w:hyperlink>
      <w:r w:rsidR="002C357C" w:rsidRPr="004508B5">
        <w:rPr>
          <w:sz w:val="24"/>
          <w:szCs w:val="24"/>
        </w:rPr>
        <w:t xml:space="preserve">. </w:t>
      </w:r>
    </w:p>
    <w:p w14:paraId="050C6CC9" w14:textId="77777777" w:rsidR="00D96832" w:rsidRDefault="00D96832" w:rsidP="00A12E4B"/>
    <w:p w14:paraId="590CC579" w14:textId="76605D92" w:rsidR="002C357C" w:rsidRPr="004508B5" w:rsidRDefault="002C357C" w:rsidP="00A12E4B">
      <w:pPr>
        <w:rPr>
          <w:sz w:val="24"/>
          <w:szCs w:val="24"/>
        </w:rPr>
      </w:pPr>
      <w:r w:rsidRPr="004508B5">
        <w:rPr>
          <w:sz w:val="24"/>
          <w:szCs w:val="24"/>
        </w:rPr>
        <w:t xml:space="preserve">The changes to the structure of the Domains of Practice became effective with NAB examinations starting July 1, 2022.  </w:t>
      </w:r>
      <w:r w:rsidR="00D463C0" w:rsidRPr="004508B5">
        <w:rPr>
          <w:sz w:val="24"/>
          <w:szCs w:val="24"/>
        </w:rPr>
        <w:t xml:space="preserve">The </w:t>
      </w:r>
      <w:hyperlink r:id="rId16" w:history="1">
        <w:r w:rsidR="00D463C0" w:rsidRPr="004508B5">
          <w:rPr>
            <w:rStyle w:val="Hyperlink"/>
            <w:sz w:val="24"/>
            <w:szCs w:val="24"/>
          </w:rPr>
          <w:t>Exam Candidate Handbook</w:t>
        </w:r>
      </w:hyperlink>
      <w:r w:rsidR="00D463C0" w:rsidRPr="004508B5">
        <w:rPr>
          <w:sz w:val="24"/>
          <w:szCs w:val="24"/>
        </w:rPr>
        <w:t xml:space="preserve"> has been updated to reflect these changes; a</w:t>
      </w:r>
      <w:r w:rsidR="00D96832" w:rsidRPr="004508B5">
        <w:rPr>
          <w:sz w:val="24"/>
          <w:szCs w:val="24"/>
        </w:rPr>
        <w:t>n updated</w:t>
      </w:r>
      <w:r w:rsidR="008F47BF">
        <w:rPr>
          <w:sz w:val="24"/>
          <w:szCs w:val="24"/>
        </w:rPr>
        <w:t xml:space="preserve"> </w:t>
      </w:r>
      <w:hyperlink r:id="rId17" w:history="1">
        <w:r w:rsidR="008F47BF" w:rsidRPr="008F47BF">
          <w:rPr>
            <w:rStyle w:val="Hyperlink"/>
            <w:sz w:val="24"/>
            <w:szCs w:val="24"/>
          </w:rPr>
          <w:t>NAB</w:t>
        </w:r>
        <w:r w:rsidR="00D96832" w:rsidRPr="008F47BF">
          <w:rPr>
            <w:rStyle w:val="Hyperlink"/>
            <w:sz w:val="24"/>
            <w:szCs w:val="24"/>
          </w:rPr>
          <w:t xml:space="preserve"> </w:t>
        </w:r>
        <w:r w:rsidR="008F47BF" w:rsidRPr="008F47BF">
          <w:rPr>
            <w:rStyle w:val="Hyperlink"/>
            <w:sz w:val="24"/>
            <w:szCs w:val="24"/>
          </w:rPr>
          <w:t>E</w:t>
        </w:r>
        <w:r w:rsidR="00D96832" w:rsidRPr="008F47BF">
          <w:rPr>
            <w:rStyle w:val="Hyperlink"/>
            <w:sz w:val="24"/>
            <w:szCs w:val="24"/>
          </w:rPr>
          <w:t xml:space="preserve">xam </w:t>
        </w:r>
        <w:r w:rsidR="008F47BF" w:rsidRPr="008F47BF">
          <w:rPr>
            <w:rStyle w:val="Hyperlink"/>
            <w:sz w:val="24"/>
            <w:szCs w:val="24"/>
          </w:rPr>
          <w:t>S</w:t>
        </w:r>
        <w:r w:rsidR="00D96832" w:rsidRPr="008F47BF">
          <w:rPr>
            <w:rStyle w:val="Hyperlink"/>
            <w:sz w:val="24"/>
            <w:szCs w:val="24"/>
          </w:rPr>
          <w:t xml:space="preserve">tudy </w:t>
        </w:r>
        <w:r w:rsidR="008F47BF" w:rsidRPr="008F47BF">
          <w:rPr>
            <w:rStyle w:val="Hyperlink"/>
            <w:sz w:val="24"/>
            <w:szCs w:val="24"/>
          </w:rPr>
          <w:t>G</w:t>
        </w:r>
        <w:r w:rsidR="00D96832" w:rsidRPr="008F47BF">
          <w:rPr>
            <w:rStyle w:val="Hyperlink"/>
            <w:sz w:val="24"/>
            <w:szCs w:val="24"/>
          </w:rPr>
          <w:t>uide</w:t>
        </w:r>
      </w:hyperlink>
      <w:r w:rsidR="00D96832" w:rsidRPr="004508B5">
        <w:rPr>
          <w:sz w:val="24"/>
          <w:szCs w:val="24"/>
        </w:rPr>
        <w:t xml:space="preserve"> </w:t>
      </w:r>
      <w:r w:rsidR="008F47BF">
        <w:rPr>
          <w:sz w:val="24"/>
          <w:szCs w:val="24"/>
        </w:rPr>
        <w:t>was launched</w:t>
      </w:r>
      <w:r w:rsidR="00D96832" w:rsidRPr="004508B5">
        <w:rPr>
          <w:sz w:val="24"/>
          <w:szCs w:val="24"/>
        </w:rPr>
        <w:t xml:space="preserve"> in </w:t>
      </w:r>
      <w:r w:rsidR="00D96832" w:rsidRPr="008F47BF">
        <w:rPr>
          <w:sz w:val="24"/>
          <w:szCs w:val="24"/>
        </w:rPr>
        <w:t>December 2022.</w:t>
      </w:r>
      <w:r w:rsidR="00D96832" w:rsidRPr="004508B5">
        <w:rPr>
          <w:sz w:val="24"/>
          <w:szCs w:val="24"/>
        </w:rPr>
        <w:t xml:space="preserve"> </w:t>
      </w:r>
    </w:p>
    <w:p w14:paraId="4241CFC5" w14:textId="71CC9301" w:rsidR="00D96832" w:rsidRPr="004508B5" w:rsidRDefault="00D96832" w:rsidP="00A12E4B">
      <w:pPr>
        <w:rPr>
          <w:sz w:val="24"/>
          <w:szCs w:val="24"/>
        </w:rPr>
      </w:pPr>
    </w:p>
    <w:p w14:paraId="5030706B" w14:textId="69F29602" w:rsidR="00D96832" w:rsidRPr="004508B5" w:rsidRDefault="005B7724" w:rsidP="00A12E4B">
      <w:pPr>
        <w:rPr>
          <w:sz w:val="24"/>
          <w:szCs w:val="24"/>
        </w:rPr>
      </w:pPr>
      <w:hyperlink r:id="rId18" w:history="1">
        <w:r w:rsidR="00D96832" w:rsidRPr="004508B5">
          <w:rPr>
            <w:rStyle w:val="Hyperlink"/>
            <w:sz w:val="24"/>
            <w:szCs w:val="24"/>
          </w:rPr>
          <w:t>Updates to the AIT Program Manual</w:t>
        </w:r>
      </w:hyperlink>
      <w:r w:rsidR="00D96832" w:rsidRPr="004508B5">
        <w:rPr>
          <w:sz w:val="24"/>
          <w:szCs w:val="24"/>
        </w:rPr>
        <w:t xml:space="preserve"> were launched in </w:t>
      </w:r>
      <w:r w:rsidR="00D463C0" w:rsidRPr="004508B5">
        <w:rPr>
          <w:sz w:val="24"/>
          <w:szCs w:val="24"/>
        </w:rPr>
        <w:t>August 2022.</w:t>
      </w:r>
      <w:r w:rsidR="00D96832" w:rsidRPr="004508B5">
        <w:rPr>
          <w:sz w:val="24"/>
          <w:szCs w:val="24"/>
        </w:rPr>
        <w:t xml:space="preserve">  Any updates to the Online Preceptor Modules will be posted in early 2023. </w:t>
      </w:r>
    </w:p>
    <w:p w14:paraId="34AEE7DD" w14:textId="48B60727" w:rsidR="002C357C" w:rsidRPr="004508B5" w:rsidRDefault="002C357C" w:rsidP="00A12E4B">
      <w:pPr>
        <w:rPr>
          <w:sz w:val="24"/>
          <w:szCs w:val="24"/>
        </w:rPr>
      </w:pPr>
      <w:r w:rsidRPr="004508B5">
        <w:rPr>
          <w:sz w:val="24"/>
          <w:szCs w:val="24"/>
        </w:rPr>
        <w:lastRenderedPageBreak/>
        <w:t xml:space="preserve">For more information on how these changes impact </w:t>
      </w:r>
      <w:r w:rsidR="00D96832" w:rsidRPr="004508B5">
        <w:rPr>
          <w:sz w:val="24"/>
          <w:szCs w:val="24"/>
        </w:rPr>
        <w:t xml:space="preserve">specific NAB resources, please visit the NAB website for the NAB Domains of Practice at </w:t>
      </w:r>
      <w:hyperlink r:id="rId19" w:history="1">
        <w:r w:rsidR="00D96832" w:rsidRPr="004508B5">
          <w:rPr>
            <w:rStyle w:val="Hyperlink"/>
            <w:sz w:val="24"/>
            <w:szCs w:val="24"/>
          </w:rPr>
          <w:t>https://www.nabweb.org/nab-domains-of-practice-2</w:t>
        </w:r>
      </w:hyperlink>
      <w:r w:rsidR="00D96832" w:rsidRPr="004508B5">
        <w:rPr>
          <w:sz w:val="24"/>
          <w:szCs w:val="24"/>
        </w:rPr>
        <w:t xml:space="preserve">. </w:t>
      </w:r>
    </w:p>
    <w:p w14:paraId="0A3D3C7C" w14:textId="488A5DDB" w:rsidR="00D96832" w:rsidRPr="004508B5" w:rsidRDefault="00D96832" w:rsidP="00A12E4B">
      <w:pPr>
        <w:rPr>
          <w:sz w:val="24"/>
          <w:szCs w:val="24"/>
        </w:rPr>
      </w:pPr>
    </w:p>
    <w:p w14:paraId="7F3F834E" w14:textId="018655CC" w:rsidR="00D463C0" w:rsidRPr="004508B5" w:rsidRDefault="00D463C0" w:rsidP="00A12E4B">
      <w:pPr>
        <w:rPr>
          <w:b/>
          <w:bCs/>
          <w:sz w:val="24"/>
          <w:szCs w:val="24"/>
        </w:rPr>
      </w:pPr>
      <w:r w:rsidRPr="004508B5">
        <w:rPr>
          <w:b/>
          <w:bCs/>
          <w:sz w:val="28"/>
          <w:szCs w:val="28"/>
        </w:rPr>
        <w:t>Using the Updated NAB AIT Manual</w:t>
      </w:r>
    </w:p>
    <w:p w14:paraId="19962B75" w14:textId="310DF1C3" w:rsidR="00D463C0" w:rsidRPr="004508B5" w:rsidRDefault="00D463C0" w:rsidP="00A12E4B">
      <w:pPr>
        <w:rPr>
          <w:sz w:val="24"/>
          <w:szCs w:val="24"/>
        </w:rPr>
      </w:pPr>
    </w:p>
    <w:p w14:paraId="7F00850A" w14:textId="0835DED2" w:rsidR="00D463C0" w:rsidRPr="004508B5" w:rsidRDefault="00D463C0" w:rsidP="00A12E4B">
      <w:pPr>
        <w:rPr>
          <w:sz w:val="24"/>
          <w:szCs w:val="24"/>
        </w:rPr>
      </w:pPr>
      <w:r w:rsidRPr="004508B5">
        <w:rPr>
          <w:sz w:val="24"/>
          <w:szCs w:val="24"/>
        </w:rPr>
        <w:t xml:space="preserve">With changes to the Domains of Practice, as well as feedback from state member boards, preceptors, and AITs, NAB recently launched a new version of the </w:t>
      </w:r>
      <w:hyperlink r:id="rId20" w:history="1">
        <w:r w:rsidRPr="008F47BF">
          <w:rPr>
            <w:rStyle w:val="Hyperlink"/>
            <w:sz w:val="24"/>
            <w:szCs w:val="24"/>
          </w:rPr>
          <w:t>AIT Program Manual</w:t>
        </w:r>
      </w:hyperlink>
      <w:r w:rsidRPr="008F47BF">
        <w:rPr>
          <w:sz w:val="24"/>
          <w:szCs w:val="24"/>
        </w:rPr>
        <w:t>.  The</w:t>
      </w:r>
      <w:r w:rsidRPr="004508B5">
        <w:rPr>
          <w:sz w:val="24"/>
          <w:szCs w:val="24"/>
        </w:rPr>
        <w:t xml:space="preserve"> new manual has been divided into four modules, with each line of service having a dedicated modul</w:t>
      </w:r>
      <w:r w:rsidR="001D6D85" w:rsidRPr="004508B5">
        <w:rPr>
          <w:sz w:val="24"/>
          <w:szCs w:val="24"/>
        </w:rPr>
        <w:t>e as Module 3 (NHA, RC/AL, HCBS, and HSE).  The Manual contains sample learning activities, as well as interactive tools for use by Preceptors and AITs, including a Self-Assessment Instrument and AIT Professional Development Plan.</w:t>
      </w:r>
    </w:p>
    <w:p w14:paraId="266C8F47" w14:textId="2DC169D1" w:rsidR="00D463C0" w:rsidRPr="004508B5" w:rsidRDefault="00D463C0" w:rsidP="00A12E4B">
      <w:pPr>
        <w:rPr>
          <w:sz w:val="24"/>
          <w:szCs w:val="24"/>
        </w:rPr>
      </w:pPr>
    </w:p>
    <w:p w14:paraId="7005344A" w14:textId="1F014770" w:rsidR="00D463C0" w:rsidRDefault="004508B5" w:rsidP="00A12E4B">
      <w:pPr>
        <w:rPr>
          <w:sz w:val="24"/>
          <w:szCs w:val="24"/>
        </w:rPr>
      </w:pPr>
      <w:r>
        <w:rPr>
          <w:sz w:val="24"/>
          <w:szCs w:val="24"/>
        </w:rPr>
        <w:t xml:space="preserve">While the </w:t>
      </w:r>
      <w:r w:rsidR="001D6D85" w:rsidRPr="004508B5">
        <w:rPr>
          <w:sz w:val="24"/>
          <w:szCs w:val="24"/>
        </w:rPr>
        <w:t xml:space="preserve">AIT Program Manual </w:t>
      </w:r>
      <w:r>
        <w:rPr>
          <w:sz w:val="24"/>
          <w:szCs w:val="24"/>
        </w:rPr>
        <w:t xml:space="preserve">materials </w:t>
      </w:r>
      <w:r w:rsidR="008F47BF">
        <w:rPr>
          <w:sz w:val="24"/>
          <w:szCs w:val="24"/>
        </w:rPr>
        <w:t>contain content related to</w:t>
      </w:r>
      <w:r>
        <w:rPr>
          <w:sz w:val="24"/>
          <w:szCs w:val="24"/>
        </w:rPr>
        <w:t xml:space="preserve"> </w:t>
      </w:r>
      <w:r w:rsidR="00D628D9">
        <w:rPr>
          <w:sz w:val="24"/>
          <w:szCs w:val="24"/>
        </w:rPr>
        <w:t>an</w:t>
      </w:r>
      <w:r>
        <w:rPr>
          <w:sz w:val="24"/>
          <w:szCs w:val="24"/>
        </w:rPr>
        <w:t xml:space="preserve"> AIT program for nursing home administration, the materials may be utilized for all lines of service including </w:t>
      </w:r>
      <w:r w:rsidR="001D6D85" w:rsidRPr="004508B5">
        <w:rPr>
          <w:sz w:val="24"/>
          <w:szCs w:val="24"/>
        </w:rPr>
        <w:t xml:space="preserve">Assisted Living Facility </w:t>
      </w:r>
      <w:r w:rsidR="00D628D9">
        <w:rPr>
          <w:sz w:val="24"/>
          <w:szCs w:val="24"/>
        </w:rPr>
        <w:t xml:space="preserve">(or RC/AL) </w:t>
      </w:r>
      <w:r w:rsidR="001D6D85" w:rsidRPr="004508B5">
        <w:rPr>
          <w:sz w:val="24"/>
          <w:szCs w:val="24"/>
        </w:rPr>
        <w:t>AIT Programs</w:t>
      </w:r>
      <w:r w:rsidR="00D628D9">
        <w:rPr>
          <w:sz w:val="24"/>
          <w:szCs w:val="24"/>
        </w:rPr>
        <w:t>.</w:t>
      </w:r>
      <w:r w:rsidR="001D6D85" w:rsidRPr="004508B5">
        <w:rPr>
          <w:sz w:val="24"/>
          <w:szCs w:val="24"/>
        </w:rPr>
        <w:t xml:space="preserve"> </w:t>
      </w:r>
      <w:r w:rsidR="00D628D9">
        <w:rPr>
          <w:sz w:val="24"/>
          <w:szCs w:val="24"/>
        </w:rPr>
        <w:t xml:space="preserve"> T</w:t>
      </w:r>
      <w:r>
        <w:rPr>
          <w:sz w:val="24"/>
          <w:szCs w:val="24"/>
        </w:rPr>
        <w:t>he p</w:t>
      </w:r>
      <w:r w:rsidR="001D6D85" w:rsidRPr="004508B5">
        <w:rPr>
          <w:sz w:val="24"/>
          <w:szCs w:val="24"/>
        </w:rPr>
        <w:t xml:space="preserve">receptor and </w:t>
      </w:r>
      <w:r>
        <w:rPr>
          <w:sz w:val="24"/>
          <w:szCs w:val="24"/>
        </w:rPr>
        <w:t xml:space="preserve">the </w:t>
      </w:r>
      <w:r w:rsidR="001D6D85" w:rsidRPr="004508B5">
        <w:rPr>
          <w:sz w:val="24"/>
          <w:szCs w:val="24"/>
        </w:rPr>
        <w:t xml:space="preserve">AIT are encouraged to </w:t>
      </w:r>
      <w:r w:rsidR="009E7AE3" w:rsidRPr="004508B5">
        <w:rPr>
          <w:sz w:val="24"/>
          <w:szCs w:val="24"/>
        </w:rPr>
        <w:t xml:space="preserve">work together to develop a training plan that best suits the individual training needs of the </w:t>
      </w:r>
      <w:r>
        <w:rPr>
          <w:sz w:val="24"/>
          <w:szCs w:val="24"/>
        </w:rPr>
        <w:t>AIT</w:t>
      </w:r>
      <w:r w:rsidR="00D628D9">
        <w:rPr>
          <w:sz w:val="24"/>
          <w:szCs w:val="24"/>
        </w:rPr>
        <w:t xml:space="preserve"> in their respective long-term care setting.  The materials are designed to provide an overall outline of an AIT program, as well as tools and activities to enhance an AIT’s knowledge and skills and to </w:t>
      </w:r>
      <w:r w:rsidR="00154744">
        <w:rPr>
          <w:sz w:val="24"/>
          <w:szCs w:val="24"/>
        </w:rPr>
        <w:t>promote entry-level competence</w:t>
      </w:r>
      <w:r w:rsidR="00D628D9">
        <w:rPr>
          <w:sz w:val="24"/>
          <w:szCs w:val="24"/>
        </w:rPr>
        <w:t xml:space="preserve"> for </w:t>
      </w:r>
      <w:r w:rsidR="00154744">
        <w:rPr>
          <w:sz w:val="24"/>
          <w:szCs w:val="24"/>
        </w:rPr>
        <w:t>licensure as an administrator</w:t>
      </w:r>
      <w:r w:rsidR="00D628D9">
        <w:rPr>
          <w:sz w:val="24"/>
          <w:szCs w:val="24"/>
        </w:rPr>
        <w:t>.</w:t>
      </w:r>
    </w:p>
    <w:p w14:paraId="1C587C77" w14:textId="77777777" w:rsidR="00D463C0" w:rsidRPr="004508B5" w:rsidRDefault="00D463C0" w:rsidP="00A12E4B">
      <w:pPr>
        <w:rPr>
          <w:sz w:val="24"/>
          <w:szCs w:val="24"/>
        </w:rPr>
      </w:pPr>
    </w:p>
    <w:p w14:paraId="42B907BF" w14:textId="62ED7F08" w:rsidR="00D96832" w:rsidRPr="004508B5" w:rsidRDefault="00D96832" w:rsidP="00A12E4B">
      <w:pPr>
        <w:rPr>
          <w:b/>
          <w:bCs/>
          <w:sz w:val="24"/>
          <w:szCs w:val="24"/>
        </w:rPr>
      </w:pPr>
      <w:r w:rsidRPr="004508B5">
        <w:rPr>
          <w:b/>
          <w:bCs/>
          <w:sz w:val="24"/>
          <w:szCs w:val="24"/>
        </w:rPr>
        <w:t>How does this impact the Board’s AIT Training Plan and Reporting Forms?</w:t>
      </w:r>
    </w:p>
    <w:p w14:paraId="4C2F51EA" w14:textId="4E664916" w:rsidR="00D96832" w:rsidRPr="004508B5" w:rsidRDefault="00D96832" w:rsidP="00A12E4B">
      <w:pPr>
        <w:rPr>
          <w:sz w:val="24"/>
          <w:szCs w:val="24"/>
        </w:rPr>
      </w:pPr>
    </w:p>
    <w:p w14:paraId="0F07164A" w14:textId="679AA84E" w:rsidR="004508B5" w:rsidRPr="00B13FBE" w:rsidRDefault="004508B5" w:rsidP="004508B5">
      <w:pPr>
        <w:rPr>
          <w:sz w:val="24"/>
          <w:szCs w:val="24"/>
        </w:rPr>
      </w:pPr>
      <w:r>
        <w:rPr>
          <w:sz w:val="24"/>
          <w:szCs w:val="24"/>
        </w:rPr>
        <w:t xml:space="preserve">The Board’s AIT Training Plan and Reporting forms will be updated to reflect the reorganized Domains of Practice. </w:t>
      </w:r>
      <w:r w:rsidR="008F47BF">
        <w:rPr>
          <w:sz w:val="24"/>
          <w:szCs w:val="24"/>
        </w:rPr>
        <w:t xml:space="preserve"> The updated forms will be accessible on the </w:t>
      </w:r>
      <w:hyperlink r:id="rId21" w:history="1">
        <w:r w:rsidR="008F47BF" w:rsidRPr="008F47BF">
          <w:rPr>
            <w:rStyle w:val="Hyperlink"/>
            <w:sz w:val="24"/>
            <w:szCs w:val="24"/>
          </w:rPr>
          <w:t>Board’s Applications &amp; Forms page</w:t>
        </w:r>
      </w:hyperlink>
      <w:r w:rsidR="008F47BF">
        <w:rPr>
          <w:sz w:val="24"/>
          <w:szCs w:val="24"/>
        </w:rPr>
        <w:t xml:space="preserve">. </w:t>
      </w:r>
      <w:r>
        <w:rPr>
          <w:sz w:val="24"/>
          <w:szCs w:val="24"/>
        </w:rPr>
        <w:t xml:space="preserve"> </w:t>
      </w:r>
      <w:r w:rsidRPr="004508B5">
        <w:rPr>
          <w:sz w:val="24"/>
          <w:szCs w:val="24"/>
        </w:rPr>
        <w:t>The Board will continue to accept older forms that document AIT training for current AITs through the completion of their AIT training.</w:t>
      </w:r>
    </w:p>
    <w:p w14:paraId="450EAAFB" w14:textId="1DEED759" w:rsidR="00D96832" w:rsidRPr="004508B5" w:rsidRDefault="00D96832" w:rsidP="00A12E4B">
      <w:pPr>
        <w:rPr>
          <w:sz w:val="24"/>
          <w:szCs w:val="24"/>
        </w:rPr>
      </w:pPr>
    </w:p>
    <w:p w14:paraId="088485B6" w14:textId="5F0A52D5" w:rsidR="00D463C0" w:rsidRDefault="00D463C0" w:rsidP="00A12E4B"/>
    <w:p w14:paraId="2A18ACAB" w14:textId="77777777" w:rsidR="00D463C0" w:rsidRDefault="00D463C0" w:rsidP="00A12E4B"/>
    <w:sectPr w:rsidR="00D4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C5A"/>
    <w:multiLevelType w:val="hybridMultilevel"/>
    <w:tmpl w:val="BCC66D5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434E4C20"/>
    <w:multiLevelType w:val="hybridMultilevel"/>
    <w:tmpl w:val="AA6E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76C24"/>
    <w:multiLevelType w:val="hybridMultilevel"/>
    <w:tmpl w:val="E1980736"/>
    <w:lvl w:ilvl="0" w:tplc="ADDC63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E5D1B"/>
    <w:multiLevelType w:val="hybridMultilevel"/>
    <w:tmpl w:val="E86E5322"/>
    <w:lvl w:ilvl="0" w:tplc="765063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22E96"/>
    <w:multiLevelType w:val="multilevel"/>
    <w:tmpl w:val="F63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814F3"/>
    <w:multiLevelType w:val="hybridMultilevel"/>
    <w:tmpl w:val="CAAE0A78"/>
    <w:lvl w:ilvl="0" w:tplc="7650633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3952508">
    <w:abstractNumId w:val="1"/>
  </w:num>
  <w:num w:numId="2" w16cid:durableId="897982257">
    <w:abstractNumId w:val="2"/>
  </w:num>
  <w:num w:numId="3" w16cid:durableId="928737446">
    <w:abstractNumId w:val="3"/>
  </w:num>
  <w:num w:numId="4" w16cid:durableId="1276209989">
    <w:abstractNumId w:val="5"/>
  </w:num>
  <w:num w:numId="5" w16cid:durableId="2042364001">
    <w:abstractNumId w:val="0"/>
  </w:num>
  <w:num w:numId="6" w16cid:durableId="1353916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7D"/>
    <w:rsid w:val="0007764E"/>
    <w:rsid w:val="00154744"/>
    <w:rsid w:val="001D6D85"/>
    <w:rsid w:val="00242B76"/>
    <w:rsid w:val="002C357C"/>
    <w:rsid w:val="0031673D"/>
    <w:rsid w:val="00362616"/>
    <w:rsid w:val="00366882"/>
    <w:rsid w:val="003B03A2"/>
    <w:rsid w:val="004163A2"/>
    <w:rsid w:val="004508B5"/>
    <w:rsid w:val="00457542"/>
    <w:rsid w:val="00474065"/>
    <w:rsid w:val="004D7AAB"/>
    <w:rsid w:val="005A2F82"/>
    <w:rsid w:val="005B7724"/>
    <w:rsid w:val="005D3046"/>
    <w:rsid w:val="005E45DF"/>
    <w:rsid w:val="008635AD"/>
    <w:rsid w:val="008F2A4B"/>
    <w:rsid w:val="008F47BF"/>
    <w:rsid w:val="00942CDC"/>
    <w:rsid w:val="009E7AE3"/>
    <w:rsid w:val="00A12E4B"/>
    <w:rsid w:val="00B13FBE"/>
    <w:rsid w:val="00CA741F"/>
    <w:rsid w:val="00D41235"/>
    <w:rsid w:val="00D463C0"/>
    <w:rsid w:val="00D628D9"/>
    <w:rsid w:val="00D96832"/>
    <w:rsid w:val="00DA147D"/>
    <w:rsid w:val="00E15960"/>
    <w:rsid w:val="00EF4B7F"/>
    <w:rsid w:val="00F54D1F"/>
    <w:rsid w:val="00FF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E84A"/>
  <w15:chartTrackingRefBased/>
  <w15:docId w15:val="{631C4C4A-ECC4-44FF-8B81-162F0947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A2"/>
    <w:pPr>
      <w:ind w:left="720"/>
      <w:contextualSpacing/>
    </w:pPr>
  </w:style>
  <w:style w:type="paragraph" w:styleId="NormalWeb">
    <w:name w:val="Normal (Web)"/>
    <w:basedOn w:val="Normal"/>
    <w:uiPriority w:val="99"/>
    <w:semiHidden/>
    <w:unhideWhenUsed/>
    <w:rsid w:val="00A12E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12E4B"/>
    <w:rPr>
      <w:b/>
      <w:bCs/>
    </w:rPr>
  </w:style>
  <w:style w:type="character" w:styleId="Hyperlink">
    <w:name w:val="Hyperlink"/>
    <w:basedOn w:val="DefaultParagraphFont"/>
    <w:uiPriority w:val="99"/>
    <w:unhideWhenUsed/>
    <w:rsid w:val="00A12E4B"/>
    <w:rPr>
      <w:color w:val="0000FF"/>
      <w:u w:val="single"/>
    </w:rPr>
  </w:style>
  <w:style w:type="table" w:styleId="TableGrid">
    <w:name w:val="Table Grid"/>
    <w:basedOn w:val="TableNormal"/>
    <w:uiPriority w:val="39"/>
    <w:rsid w:val="002C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10845">
      <w:bodyDiv w:val="1"/>
      <w:marLeft w:val="0"/>
      <w:marRight w:val="0"/>
      <w:marTop w:val="0"/>
      <w:marBottom w:val="0"/>
      <w:divBdr>
        <w:top w:val="none" w:sz="0" w:space="0" w:color="auto"/>
        <w:left w:val="none" w:sz="0" w:space="0" w:color="auto"/>
        <w:bottom w:val="none" w:sz="0" w:space="0" w:color="auto"/>
        <w:right w:val="none" w:sz="0" w:space="0" w:color="auto"/>
      </w:divBdr>
    </w:div>
    <w:div w:id="1059206839">
      <w:bodyDiv w:val="1"/>
      <w:marLeft w:val="0"/>
      <w:marRight w:val="0"/>
      <w:marTop w:val="0"/>
      <w:marBottom w:val="0"/>
      <w:divBdr>
        <w:top w:val="none" w:sz="0" w:space="0" w:color="auto"/>
        <w:left w:val="none" w:sz="0" w:space="0" w:color="auto"/>
        <w:bottom w:val="none" w:sz="0" w:space="0" w:color="auto"/>
        <w:right w:val="none" w:sz="0" w:space="0" w:color="auto"/>
      </w:divBdr>
    </w:div>
    <w:div w:id="1594435379">
      <w:bodyDiv w:val="1"/>
      <w:marLeft w:val="0"/>
      <w:marRight w:val="0"/>
      <w:marTop w:val="0"/>
      <w:marBottom w:val="0"/>
      <w:divBdr>
        <w:top w:val="none" w:sz="0" w:space="0" w:color="auto"/>
        <w:left w:val="none" w:sz="0" w:space="0" w:color="auto"/>
        <w:bottom w:val="none" w:sz="0" w:space="0" w:color="auto"/>
        <w:right w:val="none" w:sz="0" w:space="0" w:color="auto"/>
      </w:divBdr>
    </w:div>
    <w:div w:id="1616671638">
      <w:bodyDiv w:val="1"/>
      <w:marLeft w:val="0"/>
      <w:marRight w:val="0"/>
      <w:marTop w:val="0"/>
      <w:marBottom w:val="0"/>
      <w:divBdr>
        <w:top w:val="none" w:sz="0" w:space="0" w:color="auto"/>
        <w:left w:val="none" w:sz="0" w:space="0" w:color="auto"/>
        <w:bottom w:val="none" w:sz="0" w:space="0" w:color="auto"/>
        <w:right w:val="none" w:sz="0" w:space="0" w:color="auto"/>
      </w:divBdr>
    </w:div>
    <w:div w:id="17962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bweb.org/filebin/pdf/Reference_Documents/Domains_of_Practice_HCBS_-_03-01-2022.pdf" TargetMode="External"/><Relationship Id="rId13" Type="http://schemas.openxmlformats.org/officeDocument/2006/relationships/hyperlink" Target="https://www.nabweb.org/filebin/pdf/Reference_Documents/Domains_of_Practice_HCBS_-_03-01-2022.pdf" TargetMode="External"/><Relationship Id="rId18" Type="http://schemas.openxmlformats.org/officeDocument/2006/relationships/hyperlink" Target="https://www.nabweb.org/new-ait-program-manual" TargetMode="External"/><Relationship Id="rId3" Type="http://schemas.openxmlformats.org/officeDocument/2006/relationships/settings" Target="settings.xml"/><Relationship Id="rId21" Type="http://schemas.openxmlformats.org/officeDocument/2006/relationships/hyperlink" Target="https://www.dhp.virginia.gov/nha/nha_forms.htm" TargetMode="External"/><Relationship Id="rId7" Type="http://schemas.openxmlformats.org/officeDocument/2006/relationships/hyperlink" Target="https://www.nabweb.org/filebin/pdf/Reference_Documents/Domains_of_Practice_RCAL_-_03-01-2022.pdf" TargetMode="External"/><Relationship Id="rId12" Type="http://schemas.openxmlformats.org/officeDocument/2006/relationships/hyperlink" Target="https://www.nabweb.org/filebin/pdf/Reference_Documents/Domains_of_Practice_RCAL_-_03-01-2022.pdf" TargetMode="External"/><Relationship Id="rId17" Type="http://schemas.openxmlformats.org/officeDocument/2006/relationships/hyperlink" Target="https://www.nabweb.org/studyguide" TargetMode="External"/><Relationship Id="rId2" Type="http://schemas.openxmlformats.org/officeDocument/2006/relationships/styles" Target="styles.xml"/><Relationship Id="rId16" Type="http://schemas.openxmlformats.org/officeDocument/2006/relationships/hyperlink" Target="https://www.nabweb.org/filebin/pdf/Reference_Documents/NAB_Handbook_July_2022.pdf" TargetMode="External"/><Relationship Id="rId20" Type="http://schemas.openxmlformats.org/officeDocument/2006/relationships/hyperlink" Target="https://www.nabweb.org/new-ait-program-manual" TargetMode="External"/><Relationship Id="rId1" Type="http://schemas.openxmlformats.org/officeDocument/2006/relationships/numbering" Target="numbering.xml"/><Relationship Id="rId6" Type="http://schemas.openxmlformats.org/officeDocument/2006/relationships/hyperlink" Target="https://www.nabweb.org/filebin/pdf/Reference_Documents/Domains_of_Practice_NHA_-_03-01-2022.pdf" TargetMode="External"/><Relationship Id="rId11" Type="http://schemas.openxmlformats.org/officeDocument/2006/relationships/hyperlink" Target="https://www.nabweb.org/filebin/pdf/Reference_Documents/Domains_of_Practice_NHA_-_03-01-2022.pdf" TargetMode="External"/><Relationship Id="rId5" Type="http://schemas.openxmlformats.org/officeDocument/2006/relationships/hyperlink" Target="https://www.nabweb.org/filebin/pdf/Reference_Documents/Domains_of_Practice_CORE_-_03-01-2022.pdf" TargetMode="External"/><Relationship Id="rId15" Type="http://schemas.openxmlformats.org/officeDocument/2006/relationships/hyperlink" Target="http://www.nabweb.org" TargetMode="External"/><Relationship Id="rId23" Type="http://schemas.openxmlformats.org/officeDocument/2006/relationships/theme" Target="theme/theme1.xml"/><Relationship Id="rId10" Type="http://schemas.openxmlformats.org/officeDocument/2006/relationships/hyperlink" Target="https://www.nabweb.org/filebin/pdf/Reference_Documents/Domains_of_Practice_CORE_-_03-01-2022.pdf" TargetMode="External"/><Relationship Id="rId19" Type="http://schemas.openxmlformats.org/officeDocument/2006/relationships/hyperlink" Target="https://www.nabweb.org/nab-domains-of-practice-2" TargetMode="External"/><Relationship Id="rId4" Type="http://schemas.openxmlformats.org/officeDocument/2006/relationships/webSettings" Target="webSettings.xml"/><Relationship Id="rId9" Type="http://schemas.openxmlformats.org/officeDocument/2006/relationships/hyperlink" Target="https://www.nabweb.org/filebin/pdf/Reference_Documents/Domains_of_Practice_-_All_Lines_of_Service_-_03-01-2022.pdf" TargetMode="External"/><Relationship Id="rId14" Type="http://schemas.openxmlformats.org/officeDocument/2006/relationships/hyperlink" Target="https://www.nabweb.org/filebin/pdf/Reference_Documents/Domains_of_Practice_-_All_Lines_of_Service_-_03-01-20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2705</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from the National Association of Long Term Care Administrator Boards (NAB) – Domains of Practice, Exams, and AIT Resources</dc:title>
  <dc:subject/>
  <dc:creator>Tillman Wolf, Corie (DHP)</dc:creator>
  <cp:keywords/>
  <dc:description/>
  <cp:lastModifiedBy>Gallini, Mike (DHP)</cp:lastModifiedBy>
  <cp:revision>6</cp:revision>
  <dcterms:created xsi:type="dcterms:W3CDTF">2022-11-30T22:00:00Z</dcterms:created>
  <dcterms:modified xsi:type="dcterms:W3CDTF">2023-03-10T19:30:00Z</dcterms:modified>
</cp:coreProperties>
</file>